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D" w:rsidRPr="008E008A" w:rsidRDefault="00E7052D" w:rsidP="00E7052D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hAnsi="Times New Roman"/>
          <w:sz w:val="20"/>
          <w:szCs w:val="20"/>
        </w:rPr>
        <w:t>Indian Journal of Basic and Applied Medical Research; December 20</w:t>
      </w:r>
      <w:r w:rsidR="00CA22F4">
        <w:rPr>
          <w:rFonts w:ascii="Times New Roman" w:hAnsi="Times New Roman"/>
          <w:sz w:val="20"/>
          <w:szCs w:val="20"/>
        </w:rPr>
        <w:t>14: Vol.-4, Issue- 1, P. 176-180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474EE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Sarcomatoid</w:t>
      </w:r>
      <w:proofErr w:type="spellEnd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(spindle cell) carcinoma of the </w:t>
      </w:r>
      <w:proofErr w:type="spellStart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cricopharynx</w:t>
      </w:r>
      <w:proofErr w:type="spellEnd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presenting as </w:t>
      </w:r>
      <w:proofErr w:type="spellStart"/>
      <w:r w:rsidRPr="001474E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dysphagia</w:t>
      </w:r>
      <w:proofErr w:type="spellEnd"/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Jagtap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Sunil V.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1474EE">
        <w:rPr>
          <w:rFonts w:asciiTheme="majorHAnsi" w:hAnsiTheme="majorHAnsi" w:cs="Times New Roman"/>
          <w:b/>
          <w:sz w:val="20"/>
          <w:szCs w:val="20"/>
        </w:rPr>
        <w:t xml:space="preserve"> ,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Shukla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Dhirajkumar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B. 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1474EE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Jagtap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Swati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S.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1474EE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Havle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1474EE">
        <w:rPr>
          <w:rFonts w:asciiTheme="majorHAnsi" w:hAnsiTheme="majorHAnsi" w:cs="Times New Roman"/>
          <w:b/>
          <w:sz w:val="20"/>
          <w:szCs w:val="20"/>
        </w:rPr>
        <w:t>Abhay</w:t>
      </w:r>
      <w:proofErr w:type="spellEnd"/>
      <w:r w:rsidRPr="001474EE">
        <w:rPr>
          <w:rFonts w:asciiTheme="majorHAnsi" w:hAnsiTheme="majorHAnsi" w:cs="Times New Roman"/>
          <w:b/>
          <w:sz w:val="20"/>
          <w:szCs w:val="20"/>
        </w:rPr>
        <w:t xml:space="preserve"> D. </w:t>
      </w:r>
      <w:r w:rsidRPr="001474EE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1474EE">
        <w:rPr>
          <w:rFonts w:asciiTheme="majorHAnsi" w:hAnsiTheme="majorHAnsi" w:cs="Times New Roman"/>
          <w:sz w:val="18"/>
          <w:szCs w:val="18"/>
        </w:rPr>
        <w:t xml:space="preserve"> Associate Professor, Department of Pathology, Krishna Institute of Medical Sciences University, KIMSU,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1474EE">
        <w:rPr>
          <w:rFonts w:asciiTheme="majorHAnsi" w:hAnsiTheme="majorHAnsi" w:cs="Times New Roman"/>
          <w:sz w:val="18"/>
          <w:szCs w:val="18"/>
        </w:rPr>
        <w:t xml:space="preserve"> Assistant </w:t>
      </w:r>
      <w:proofErr w:type="gramStart"/>
      <w:r w:rsidRPr="001474EE">
        <w:rPr>
          <w:rFonts w:asciiTheme="majorHAnsi" w:hAnsiTheme="majorHAnsi" w:cs="Times New Roman"/>
          <w:sz w:val="18"/>
          <w:szCs w:val="18"/>
        </w:rPr>
        <w:t>Lecturer</w:t>
      </w:r>
      <w:proofErr w:type="gramEnd"/>
      <w:r w:rsidRPr="001474EE">
        <w:rPr>
          <w:rFonts w:asciiTheme="majorHAnsi" w:hAnsiTheme="majorHAnsi" w:cs="Times New Roman"/>
          <w:sz w:val="18"/>
          <w:szCs w:val="18"/>
        </w:rPr>
        <w:t xml:space="preserve">, Department of Pathology, Krishna Institute of Medical Sciences University, KIMSU,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1474EE">
        <w:rPr>
          <w:rFonts w:asciiTheme="majorHAnsi" w:hAnsiTheme="majorHAnsi" w:cs="Times New Roman"/>
          <w:sz w:val="18"/>
          <w:szCs w:val="18"/>
        </w:rPr>
        <w:t xml:space="preserve"> Associate Professor</w:t>
      </w:r>
      <w:proofErr w:type="gramEnd"/>
      <w:r w:rsidRPr="001474EE">
        <w:rPr>
          <w:rFonts w:asciiTheme="majorHAnsi" w:hAnsiTheme="majorHAnsi" w:cs="Times New Roman"/>
          <w:sz w:val="18"/>
          <w:szCs w:val="18"/>
        </w:rPr>
        <w:t xml:space="preserve">, Department of Physiology, Krishna Institute of Medical Sciences University, KIMSU,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1474EE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1474EE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1474EE">
        <w:rPr>
          <w:rFonts w:asciiTheme="majorHAnsi" w:hAnsiTheme="majorHAnsi" w:cs="Times New Roman"/>
          <w:sz w:val="18"/>
          <w:szCs w:val="18"/>
        </w:rPr>
        <w:t>Professor</w:t>
      </w:r>
      <w:proofErr w:type="gramEnd"/>
      <w:r w:rsidRPr="001474EE">
        <w:rPr>
          <w:rFonts w:asciiTheme="majorHAnsi" w:hAnsiTheme="majorHAnsi" w:cs="Times New Roman"/>
          <w:sz w:val="18"/>
          <w:szCs w:val="18"/>
        </w:rPr>
        <w:t xml:space="preserve">, Department of ENT, Krishna Hospital and Medical Research Centre,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Karad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>. India</w:t>
      </w:r>
    </w:p>
    <w:p w:rsidR="00CA22F4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Corresponding a</w:t>
      </w:r>
      <w:r w:rsidRPr="001474EE">
        <w:rPr>
          <w:rFonts w:asciiTheme="majorHAnsi" w:hAnsiTheme="majorHAnsi" w:cs="Times New Roman"/>
          <w:sz w:val="18"/>
          <w:szCs w:val="18"/>
        </w:rPr>
        <w:t xml:space="preserve">uthor: Dr.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Jagtap</w:t>
      </w:r>
      <w:proofErr w:type="spellEnd"/>
      <w:r w:rsidRPr="001474EE">
        <w:rPr>
          <w:rFonts w:asciiTheme="majorHAnsi" w:hAnsiTheme="majorHAnsi" w:cs="Times New Roman"/>
          <w:sz w:val="18"/>
          <w:szCs w:val="18"/>
        </w:rPr>
        <w:t xml:space="preserve"> Sunil </w:t>
      </w:r>
      <w:proofErr w:type="spellStart"/>
      <w:r w:rsidRPr="001474EE">
        <w:rPr>
          <w:rFonts w:asciiTheme="majorHAnsi" w:hAnsiTheme="majorHAnsi" w:cs="Times New Roman"/>
          <w:sz w:val="18"/>
          <w:szCs w:val="18"/>
        </w:rPr>
        <w:t>Vitthalrao</w:t>
      </w:r>
      <w:proofErr w:type="spellEnd"/>
    </w:p>
    <w:p w:rsidR="00CA22F4" w:rsidRDefault="00CA22F4" w:rsidP="00CA22F4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15 October </w:t>
      </w:r>
      <w:proofErr w:type="gramStart"/>
      <w:r>
        <w:rPr>
          <w:rFonts w:asciiTheme="majorHAnsi" w:hAnsiTheme="majorHAnsi" w:cs="Times New Roman"/>
          <w:sz w:val="18"/>
          <w:szCs w:val="18"/>
        </w:rPr>
        <w:t>2014 ;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Date of Publication: 10 December 2014</w:t>
      </w:r>
    </w:p>
    <w:p w:rsidR="00CA22F4" w:rsidRPr="001474EE" w:rsidRDefault="00CA22F4" w:rsidP="00CA22F4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</w:p>
    <w:p w:rsidR="00CA22F4" w:rsidRPr="001474EE" w:rsidRDefault="00CA22F4" w:rsidP="00CA22F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4EE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CA22F4" w:rsidRPr="001474EE" w:rsidRDefault="00CA22F4" w:rsidP="00CA22F4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4EE">
        <w:rPr>
          <w:rFonts w:ascii="Times New Roman" w:hAnsi="Times New Roman" w:cs="Times New Roman"/>
          <w:sz w:val="18"/>
          <w:szCs w:val="18"/>
        </w:rPr>
        <w:t xml:space="preserve">Spindle cell carcinoma is a highly malignant variant of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squamous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cell carcinoma. It is considered to be a biphasic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composed of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squamous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cell carcinoma (in situ or invasive) with a spindle cell carcinoma (with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sarcomatous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component). It is more common in males. We are presenting a rare case of spindle cell carcinoma in an 82 year old female who presented with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dysphagia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Laryngoscopic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examination showed a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polypoid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growth in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hypopharynx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On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histopathological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immunohistochemical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study it was confirmed as spindle cell carcinoma of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hypopharynx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It is challenging to diagnose spindle cell carcinoma because of overlapping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histopathological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features with various other spindle cell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tumours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.  We are presenting this case for its rarity, clinical,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histomorphological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immunohistochemical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 xml:space="preserve"> features.</w:t>
      </w:r>
    </w:p>
    <w:p w:rsidR="00CA22F4" w:rsidRDefault="00CA22F4" w:rsidP="00CA22F4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4EE">
        <w:rPr>
          <w:rFonts w:ascii="Times New Roman" w:hAnsi="Times New Roman" w:cs="Times New Roman"/>
          <w:sz w:val="18"/>
          <w:szCs w:val="18"/>
        </w:rPr>
        <w:t xml:space="preserve">Key words: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74EE">
        <w:rPr>
          <w:rFonts w:ascii="Times New Roman" w:hAnsi="Times New Roman" w:cs="Times New Roman"/>
          <w:sz w:val="18"/>
          <w:szCs w:val="18"/>
        </w:rPr>
        <w:t xml:space="preserve">Pharyngeal neoplasm, Spindle cell </w:t>
      </w:r>
      <w:proofErr w:type="spellStart"/>
      <w:r w:rsidRPr="001474EE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1474E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Sarcomatoid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squamous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carcinoma</w:t>
      </w:r>
    </w:p>
    <w:p w:rsidR="00CA22F4" w:rsidRDefault="00CA22F4" w:rsidP="00CA22F4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464F" w:rsidRDefault="00CF464F" w:rsidP="00CA22F4">
      <w:pPr>
        <w:spacing w:after="0" w:line="360" w:lineRule="auto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2D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2F4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6E22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52D"/>
    <w:rsid w:val="00E7069E"/>
    <w:rsid w:val="00E709FD"/>
    <w:rsid w:val="00E71A6F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2D"/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052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7052D"/>
    <w:pPr>
      <w:keepNext/>
      <w:ind w:left="720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52D"/>
    <w:rPr>
      <w:rFonts w:ascii="Arial" w:eastAsia="Times New Roman" w:hAnsi="Arial" w:cs="Arial"/>
      <w:b/>
      <w:bCs/>
      <w:color w:val="000000"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7052D"/>
    <w:rPr>
      <w:rFonts w:ascii="Calibri" w:eastAsia="Times New Roman" w:hAnsi="Calibri"/>
      <w:b/>
      <w:sz w:val="32"/>
    </w:rPr>
  </w:style>
  <w:style w:type="paragraph" w:styleId="BodyText">
    <w:name w:val="Body Text"/>
    <w:basedOn w:val="Normal"/>
    <w:link w:val="BodyTextChar"/>
    <w:semiHidden/>
    <w:unhideWhenUsed/>
    <w:rsid w:val="00E705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052D"/>
    <w:rPr>
      <w:rFonts w:ascii="Calibri" w:eastAsia="Times New Roman" w:hAnsi="Calibri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E7052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7052D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CA22F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2014-12-12T05:13:00Z</dcterms:created>
  <dcterms:modified xsi:type="dcterms:W3CDTF">2014-12-12T05:14:00Z</dcterms:modified>
</cp:coreProperties>
</file>